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w w:val="150"/>
          <w:sz w:val="36"/>
          <w:szCs w:val="36"/>
        </w:rPr>
      </w:pPr>
      <w:r>
        <w:rPr>
          <w:rFonts w:hint="eastAsia" w:ascii="黑体" w:eastAsia="黑体"/>
          <w:b/>
          <w:color w:val="auto"/>
          <w:w w:val="150"/>
          <w:sz w:val="36"/>
          <w:szCs w:val="36"/>
        </w:rPr>
        <w:t>江苏医药职业学院</w:t>
      </w:r>
    </w:p>
    <w:p>
      <w:pPr>
        <w:jc w:val="center"/>
        <w:rPr>
          <w:rFonts w:hint="eastAsia" w:ascii="黑体" w:eastAsia="黑体"/>
          <w:b/>
          <w:color w:val="auto"/>
          <w:w w:val="150"/>
          <w:sz w:val="36"/>
          <w:szCs w:val="36"/>
          <w:lang w:eastAsia="zh-CN"/>
        </w:rPr>
      </w:pPr>
      <w:r>
        <w:rPr>
          <w:rFonts w:hint="eastAsia" w:ascii="黑体" w:eastAsia="黑体"/>
          <w:b/>
          <w:color w:val="auto"/>
          <w:w w:val="150"/>
          <w:sz w:val="36"/>
          <w:szCs w:val="36"/>
        </w:rPr>
        <w:t>20</w:t>
      </w:r>
      <w:r>
        <w:rPr>
          <w:rFonts w:hint="eastAsia" w:ascii="黑体" w:eastAsia="黑体"/>
          <w:b/>
          <w:color w:val="auto"/>
          <w:w w:val="150"/>
          <w:sz w:val="36"/>
          <w:szCs w:val="36"/>
          <w:lang w:val="en-US" w:eastAsia="zh-CN"/>
        </w:rPr>
        <w:t>22</w:t>
      </w:r>
      <w:r>
        <w:rPr>
          <w:rFonts w:hint="eastAsia" w:ascii="黑体" w:eastAsia="黑体"/>
          <w:b/>
          <w:color w:val="auto"/>
          <w:w w:val="150"/>
          <w:sz w:val="36"/>
          <w:szCs w:val="36"/>
        </w:rPr>
        <w:t>年成人高等教育</w:t>
      </w:r>
      <w:r>
        <w:rPr>
          <w:rFonts w:hint="eastAsia" w:ascii="黑体" w:eastAsia="黑体"/>
          <w:b/>
          <w:color w:val="auto"/>
          <w:w w:val="150"/>
          <w:sz w:val="36"/>
          <w:szCs w:val="36"/>
          <w:lang w:eastAsia="zh-CN"/>
        </w:rPr>
        <w:t>“</w:t>
      </w:r>
      <w:r>
        <w:rPr>
          <w:rFonts w:hint="eastAsia" w:ascii="黑体" w:eastAsia="黑体"/>
          <w:b/>
          <w:color w:val="auto"/>
          <w:w w:val="150"/>
          <w:sz w:val="36"/>
          <w:szCs w:val="36"/>
          <w:lang w:val="en-US" w:eastAsia="zh-CN"/>
        </w:rPr>
        <w:t>专升本</w:t>
      </w:r>
      <w:r>
        <w:rPr>
          <w:rFonts w:hint="eastAsia" w:ascii="黑体" w:eastAsia="黑体"/>
          <w:b/>
          <w:color w:val="auto"/>
          <w:w w:val="150"/>
          <w:sz w:val="36"/>
          <w:szCs w:val="36"/>
          <w:lang w:eastAsia="zh-CN"/>
        </w:rPr>
        <w:t>”</w:t>
      </w:r>
    </w:p>
    <w:p>
      <w:pPr>
        <w:jc w:val="center"/>
        <w:rPr>
          <w:rFonts w:hint="eastAsia" w:ascii="黑体" w:eastAsia="黑体"/>
          <w:b/>
          <w:color w:val="auto"/>
          <w:w w:val="150"/>
          <w:sz w:val="36"/>
          <w:szCs w:val="36"/>
          <w:lang w:val="en-US" w:eastAsia="zh-CN"/>
        </w:rPr>
      </w:pPr>
      <w:r>
        <w:rPr>
          <w:rFonts w:hint="eastAsia" w:ascii="黑体" w:eastAsia="黑体"/>
          <w:b/>
          <w:color w:val="auto"/>
          <w:w w:val="150"/>
          <w:sz w:val="36"/>
          <w:szCs w:val="36"/>
        </w:rPr>
        <w:t>招生</w:t>
      </w:r>
      <w:r>
        <w:rPr>
          <w:rFonts w:hint="eastAsia" w:ascii="黑体" w:eastAsia="黑体"/>
          <w:b/>
          <w:color w:val="auto"/>
          <w:w w:val="150"/>
          <w:sz w:val="36"/>
          <w:szCs w:val="36"/>
          <w:lang w:val="en-US" w:eastAsia="zh-CN"/>
        </w:rPr>
        <w:t>简章</w:t>
      </w:r>
    </w:p>
    <w:p>
      <w:pPr>
        <w:spacing w:line="400" w:lineRule="exact"/>
        <w:rPr>
          <w:rFonts w:hint="eastAsia" w:ascii="宋体" w:hAnsi="宋体"/>
          <w:b/>
          <w:color w:val="auto"/>
          <w:sz w:val="24"/>
        </w:rPr>
      </w:pPr>
      <w:r>
        <w:rPr>
          <w:rFonts w:hint="eastAsia" w:ascii="宋体" w:hAnsi="宋体"/>
          <w:b/>
          <w:color w:val="auto"/>
          <w:sz w:val="24"/>
        </w:rPr>
        <w:t>一、学校简介</w:t>
      </w:r>
    </w:p>
    <w:p>
      <w:pPr>
        <w:spacing w:line="400" w:lineRule="exact"/>
        <w:ind w:firstLine="440" w:firstLineChars="200"/>
        <w:rPr>
          <w:rFonts w:hint="eastAsia" w:ascii="宋体" w:hAnsi="宋体"/>
          <w:color w:val="auto"/>
          <w:sz w:val="22"/>
          <w:szCs w:val="22"/>
        </w:rPr>
      </w:pPr>
      <w:r>
        <w:rPr>
          <w:rFonts w:hint="eastAsia" w:ascii="宋体" w:hAnsi="宋体"/>
          <w:color w:val="auto"/>
          <w:sz w:val="22"/>
          <w:szCs w:val="22"/>
        </w:rPr>
        <w:t>江苏医药职业学院是江苏省人民政府批准的具有高等学历教育招生资格的专科层次的普通高等学校。坐落于美丽的黄海之滨，东方湿地之都——盐城。学校环境优美，校风优良，纪律严明，管理规范。是中国职教学会卫生教育专业委员主任单位；是全国护理专业领域技能型紧缺人才培训基地；全国绿化规范单位；江苏省德育先进学校；江苏省文明校园。2008年，经江苏省教育厅苏教发[2008]10号文件公布，江苏医药职业学院具备成人高等教育医学类专科自主招生资格，是苏北地区唯一一所具备所有专科医学类专业招生资格的医药卫生类高等学校。</w:t>
      </w:r>
    </w:p>
    <w:p>
      <w:pPr>
        <w:spacing w:line="400" w:lineRule="exact"/>
        <w:ind w:firstLine="440" w:firstLineChars="200"/>
        <w:rPr>
          <w:rFonts w:hint="eastAsia" w:ascii="宋体" w:hAnsi="宋体" w:eastAsia="宋体"/>
          <w:b/>
          <w:color w:val="auto"/>
          <w:sz w:val="22"/>
          <w:szCs w:val="22"/>
          <w:lang w:eastAsia="zh-CN"/>
        </w:rPr>
      </w:pPr>
      <w:r>
        <w:rPr>
          <w:rFonts w:hint="eastAsia" w:ascii="宋体" w:hAnsi="宋体"/>
          <w:color w:val="auto"/>
          <w:sz w:val="22"/>
          <w:szCs w:val="22"/>
        </w:rPr>
        <w:t>20</w:t>
      </w:r>
      <w:r>
        <w:rPr>
          <w:rFonts w:hint="eastAsia" w:ascii="宋体" w:hAnsi="宋体"/>
          <w:color w:val="auto"/>
          <w:sz w:val="22"/>
          <w:szCs w:val="22"/>
          <w:lang w:val="en-US" w:eastAsia="zh-CN"/>
        </w:rPr>
        <w:t>22</w:t>
      </w:r>
      <w:r>
        <w:rPr>
          <w:rFonts w:hint="eastAsia" w:ascii="宋体" w:hAnsi="宋体"/>
          <w:color w:val="auto"/>
          <w:sz w:val="22"/>
          <w:szCs w:val="22"/>
        </w:rPr>
        <w:t>年，江苏医药职业学院</w:t>
      </w:r>
      <w:r>
        <w:rPr>
          <w:rFonts w:hint="eastAsia" w:ascii="宋体" w:hAnsi="宋体"/>
          <w:b/>
          <w:bCs/>
          <w:color w:val="auto"/>
          <w:sz w:val="22"/>
          <w:szCs w:val="22"/>
        </w:rPr>
        <w:t>与</w:t>
      </w:r>
      <w:r>
        <w:rPr>
          <w:rFonts w:hint="eastAsia" w:ascii="宋体" w:hAnsi="宋体"/>
          <w:b/>
          <w:bCs/>
          <w:color w:val="auto"/>
          <w:sz w:val="22"/>
          <w:szCs w:val="22"/>
          <w:lang w:val="en-US" w:eastAsia="zh-CN"/>
        </w:rPr>
        <w:t>扬州大学、</w:t>
      </w:r>
      <w:r>
        <w:rPr>
          <w:rFonts w:hint="eastAsia" w:ascii="宋体" w:hAnsi="宋体"/>
          <w:b/>
          <w:bCs/>
          <w:color w:val="auto"/>
          <w:sz w:val="22"/>
          <w:szCs w:val="22"/>
        </w:rPr>
        <w:t>南京医科大学、中国药科大学、苏州大学、徐州医科大学</w:t>
      </w:r>
      <w:r>
        <w:rPr>
          <w:rFonts w:hint="eastAsia" w:ascii="宋体" w:hAnsi="宋体"/>
          <w:color w:val="auto"/>
          <w:sz w:val="22"/>
          <w:szCs w:val="22"/>
        </w:rPr>
        <w:t>5所高等医药院校联合招收</w:t>
      </w:r>
      <w:r>
        <w:rPr>
          <w:rFonts w:hint="eastAsia" w:ascii="宋体" w:hAnsi="宋体"/>
          <w:b/>
          <w:bCs/>
          <w:color w:val="auto"/>
          <w:sz w:val="22"/>
          <w:szCs w:val="22"/>
        </w:rPr>
        <w:t>临床医学、预防医学、护理学、医学影像学、药学、中药学、医学检验</w:t>
      </w:r>
      <w:r>
        <w:rPr>
          <w:rFonts w:hint="eastAsia" w:ascii="宋体" w:hAnsi="宋体"/>
          <w:b/>
          <w:bCs/>
          <w:color w:val="auto"/>
          <w:sz w:val="22"/>
          <w:szCs w:val="22"/>
          <w:lang w:eastAsia="zh-CN"/>
        </w:rPr>
        <w:t>、</w:t>
      </w:r>
      <w:r>
        <w:rPr>
          <w:rFonts w:hint="eastAsia" w:ascii="宋体" w:hAnsi="宋体"/>
          <w:b/>
          <w:bCs/>
          <w:color w:val="auto"/>
          <w:sz w:val="22"/>
          <w:szCs w:val="22"/>
          <w:lang w:val="en-US" w:eastAsia="zh-CN"/>
        </w:rPr>
        <w:t>中西医临床医学</w:t>
      </w:r>
      <w:r>
        <w:rPr>
          <w:rFonts w:hint="eastAsia" w:ascii="宋体" w:hAnsi="宋体"/>
          <w:color w:val="auto"/>
          <w:sz w:val="22"/>
          <w:szCs w:val="22"/>
        </w:rPr>
        <w:t>等专业成人高等教育专升本学员</w:t>
      </w:r>
      <w:r>
        <w:rPr>
          <w:rFonts w:hint="eastAsia" w:ascii="宋体" w:hAnsi="宋体"/>
          <w:color w:val="auto"/>
          <w:sz w:val="22"/>
          <w:szCs w:val="22"/>
          <w:lang w:eastAsia="zh-CN"/>
        </w:rPr>
        <w:t>。</w:t>
      </w:r>
    </w:p>
    <w:p>
      <w:pPr>
        <w:numPr>
          <w:ilvl w:val="0"/>
          <w:numId w:val="1"/>
        </w:numPr>
        <w:spacing w:line="400" w:lineRule="exact"/>
        <w:rPr>
          <w:rFonts w:hint="eastAsia" w:ascii="宋体" w:hAnsi="宋体"/>
          <w:b/>
          <w:color w:val="auto"/>
          <w:sz w:val="24"/>
        </w:rPr>
      </w:pPr>
      <w:r>
        <w:rPr>
          <w:rFonts w:hint="eastAsia" w:ascii="宋体" w:hAnsi="宋体"/>
          <w:b/>
          <w:color w:val="auto"/>
          <w:sz w:val="24"/>
          <w:lang w:val="en-US" w:eastAsia="zh-CN"/>
        </w:rPr>
        <w:t>联</w:t>
      </w:r>
      <w:r>
        <w:rPr>
          <w:rFonts w:hint="eastAsia" w:ascii="宋体" w:hAnsi="宋体"/>
          <w:b/>
          <w:color w:val="auto"/>
          <w:sz w:val="24"/>
        </w:rPr>
        <w:t>办</w:t>
      </w:r>
      <w:r>
        <w:rPr>
          <w:rFonts w:hint="eastAsia" w:ascii="宋体" w:hAnsi="宋体"/>
          <w:b/>
          <w:color w:val="auto"/>
          <w:sz w:val="24"/>
          <w:lang w:val="en-US" w:eastAsia="zh-CN"/>
        </w:rPr>
        <w:t>高校简介</w:t>
      </w:r>
    </w:p>
    <w:p>
      <w:pPr>
        <w:spacing w:line="400" w:lineRule="exact"/>
        <w:ind w:firstLine="442" w:firstLineChars="200"/>
        <w:rPr>
          <w:rFonts w:hint="eastAsia" w:ascii="宋体" w:hAnsi="宋体"/>
          <w:color w:val="auto"/>
          <w:sz w:val="22"/>
          <w:szCs w:val="22"/>
          <w:lang w:eastAsia="zh-CN"/>
        </w:rPr>
      </w:pPr>
      <w:r>
        <w:rPr>
          <w:rFonts w:hint="eastAsia" w:ascii="宋体" w:hAnsi="宋体"/>
          <w:b/>
          <w:bCs/>
          <w:color w:val="auto"/>
          <w:sz w:val="22"/>
          <w:szCs w:val="22"/>
        </w:rPr>
        <w:t>南京医科大学</w:t>
      </w:r>
      <w:r>
        <w:rPr>
          <w:rFonts w:hint="eastAsia" w:ascii="宋体" w:hAnsi="宋体"/>
          <w:color w:val="auto"/>
          <w:sz w:val="22"/>
          <w:szCs w:val="22"/>
        </w:rPr>
        <w:t>，是首批教育部、国家卫生健康委与省政府共建医学院校和江苏高水平大学建设高校。学</w:t>
      </w:r>
      <w:r>
        <w:rPr>
          <w:rFonts w:hint="eastAsia" w:ascii="宋体" w:hAnsi="宋体"/>
          <w:color w:val="auto"/>
          <w:sz w:val="22"/>
          <w:szCs w:val="22"/>
          <w:lang w:val="en-US" w:eastAsia="zh-CN"/>
        </w:rPr>
        <w:t>校</w:t>
      </w:r>
      <w:r>
        <w:rPr>
          <w:rFonts w:hint="eastAsia" w:ascii="宋体" w:hAnsi="宋体"/>
          <w:color w:val="auto"/>
          <w:sz w:val="22"/>
          <w:szCs w:val="22"/>
        </w:rPr>
        <w:t>历史悠久、学科门类齐全、师资力量雄厚、有较高教学、科研和医疗水平</w:t>
      </w:r>
      <w:r>
        <w:rPr>
          <w:rFonts w:hint="eastAsia" w:ascii="宋体" w:hAnsi="宋体"/>
          <w:color w:val="auto"/>
          <w:sz w:val="22"/>
          <w:szCs w:val="22"/>
          <w:lang w:eastAsia="zh-CN"/>
        </w:rPr>
        <w:t>。</w:t>
      </w:r>
    </w:p>
    <w:p>
      <w:pPr>
        <w:spacing w:line="400" w:lineRule="exact"/>
        <w:ind w:firstLine="442" w:firstLineChars="200"/>
        <w:rPr>
          <w:rFonts w:hint="eastAsia" w:ascii="宋体" w:hAnsi="宋体" w:eastAsia="宋体" w:cs="宋体"/>
          <w:i w:val="0"/>
          <w:caps w:val="0"/>
          <w:color w:val="000000"/>
          <w:spacing w:val="0"/>
          <w:sz w:val="22"/>
          <w:szCs w:val="22"/>
        </w:rPr>
      </w:pPr>
      <w:r>
        <w:rPr>
          <w:rFonts w:hint="eastAsia" w:ascii="宋体" w:hAnsi="宋体" w:cs="宋体"/>
          <w:b/>
          <w:bCs/>
          <w:i w:val="0"/>
          <w:caps w:val="0"/>
          <w:color w:val="000000"/>
          <w:spacing w:val="0"/>
          <w:sz w:val="22"/>
          <w:szCs w:val="22"/>
          <w:lang w:val="en-US" w:eastAsia="zh-CN"/>
        </w:rPr>
        <w:t>扬州大学，</w:t>
      </w:r>
      <w:r>
        <w:rPr>
          <w:rFonts w:hint="eastAsia" w:ascii="宋体" w:hAnsi="宋体" w:eastAsia="宋体" w:cs="宋体"/>
          <w:i w:val="0"/>
          <w:caps w:val="0"/>
          <w:color w:val="000000"/>
          <w:spacing w:val="0"/>
          <w:sz w:val="22"/>
          <w:szCs w:val="22"/>
        </w:rPr>
        <w:t>是江苏省人民政府和教育部共建高校、江苏省属重点综合性大学、江苏高水平大学全国百强省属高校建设计划支持高校，全国首批博士、硕士学位授予单位，全国率先进行合并办学的高校。</w:t>
      </w:r>
    </w:p>
    <w:p>
      <w:pPr>
        <w:spacing w:line="400" w:lineRule="exact"/>
        <w:ind w:firstLine="442" w:firstLineChars="200"/>
        <w:rPr>
          <w:rFonts w:hint="eastAsia" w:ascii="宋体" w:hAnsi="宋体"/>
          <w:color w:val="auto"/>
          <w:sz w:val="22"/>
          <w:szCs w:val="22"/>
        </w:rPr>
      </w:pPr>
      <w:r>
        <w:rPr>
          <w:rFonts w:hint="eastAsia" w:ascii="宋体" w:hAnsi="宋体"/>
          <w:b/>
          <w:bCs/>
          <w:color w:val="auto"/>
          <w:sz w:val="22"/>
          <w:szCs w:val="22"/>
          <w:lang w:val="en-US" w:eastAsia="zh-CN"/>
        </w:rPr>
        <w:t>苏州大学，</w:t>
      </w:r>
      <w:r>
        <w:rPr>
          <w:rFonts w:hint="eastAsia" w:ascii="宋体" w:hAnsi="宋体"/>
          <w:color w:val="auto"/>
          <w:sz w:val="22"/>
          <w:szCs w:val="22"/>
        </w:rPr>
        <w:t>是国家“211工程”、“2011计划”首批入列高校，是教育部与江苏省人民政府共建“双一流”建设高校、国家国防科技工业局和江苏省人民政府共建高校，是江苏省属重点综合性大学。</w:t>
      </w:r>
    </w:p>
    <w:p>
      <w:pPr>
        <w:spacing w:line="400" w:lineRule="exact"/>
        <w:ind w:firstLine="442" w:firstLineChars="200"/>
        <w:rPr>
          <w:rFonts w:hint="eastAsia" w:ascii="宋体" w:hAnsi="宋体" w:eastAsia="宋体" w:cs="宋体"/>
          <w:i w:val="0"/>
          <w:caps w:val="0"/>
          <w:color w:val="000000"/>
          <w:spacing w:val="0"/>
          <w:sz w:val="22"/>
          <w:szCs w:val="22"/>
          <w:lang w:val="en-US" w:eastAsia="zh-CN"/>
        </w:rPr>
      </w:pPr>
      <w:r>
        <w:rPr>
          <w:rFonts w:hint="eastAsia" w:ascii="宋体" w:hAnsi="宋体"/>
          <w:b/>
          <w:bCs/>
          <w:color w:val="auto"/>
          <w:sz w:val="22"/>
          <w:szCs w:val="22"/>
        </w:rPr>
        <w:t>徐州医科大学</w:t>
      </w:r>
      <w:r>
        <w:rPr>
          <w:rFonts w:hint="eastAsia" w:ascii="宋体" w:hAnsi="宋体"/>
          <w:b/>
          <w:bCs/>
          <w:color w:val="auto"/>
          <w:sz w:val="22"/>
          <w:szCs w:val="22"/>
          <w:lang w:eastAsia="zh-CN"/>
        </w:rPr>
        <w:t>，</w:t>
      </w:r>
      <w:r>
        <w:rPr>
          <w:rFonts w:hint="eastAsia" w:ascii="宋体" w:hAnsi="宋体"/>
          <w:color w:val="auto"/>
          <w:sz w:val="22"/>
          <w:szCs w:val="22"/>
        </w:rPr>
        <w:t>是整个淮海经济区办学历史悠久、办学特色鲜明的一所高等医学院校，也是该地区医学教育、医学科研和医疗服务的中心。六十余年来，学校不断发扬“艰苦创业、不断创新、勇于创优”的优良传统，走出了一条极具特色的发展之路</w:t>
      </w:r>
      <w:r>
        <w:rPr>
          <w:rFonts w:hint="eastAsia" w:ascii="宋体" w:hAnsi="宋体"/>
          <w:color w:val="auto"/>
          <w:sz w:val="22"/>
          <w:szCs w:val="22"/>
          <w:lang w:eastAsia="zh-CN"/>
        </w:rPr>
        <w:t>。</w:t>
      </w:r>
    </w:p>
    <w:p>
      <w:pPr>
        <w:spacing w:line="400" w:lineRule="exact"/>
        <w:ind w:firstLine="442" w:firstLineChars="200"/>
        <w:rPr>
          <w:rFonts w:hint="eastAsia" w:ascii="宋体" w:hAnsi="宋体"/>
          <w:color w:val="auto"/>
          <w:sz w:val="20"/>
          <w:szCs w:val="22"/>
        </w:rPr>
      </w:pPr>
      <w:r>
        <w:rPr>
          <w:rFonts w:hint="eastAsia" w:ascii="宋体" w:hAnsi="宋体"/>
          <w:b/>
          <w:bCs/>
          <w:color w:val="auto"/>
          <w:sz w:val="22"/>
          <w:szCs w:val="22"/>
          <w:lang w:val="en-US" w:eastAsia="zh-CN"/>
        </w:rPr>
        <w:t>中国药科大学</w:t>
      </w:r>
      <w:r>
        <w:rPr>
          <w:rFonts w:hint="eastAsia" w:ascii="宋体" w:hAnsi="宋体"/>
          <w:color w:val="auto"/>
          <w:sz w:val="22"/>
          <w:szCs w:val="22"/>
          <w:lang w:val="en-US" w:eastAsia="zh-CN"/>
        </w:rPr>
        <w:t>，</w:t>
      </w:r>
      <w:r>
        <w:rPr>
          <w:rFonts w:hint="eastAsia" w:ascii="宋体" w:hAnsi="宋体"/>
          <w:color w:val="auto"/>
          <w:sz w:val="22"/>
          <w:szCs w:val="22"/>
        </w:rPr>
        <w:t>是一所历史悠久、在药学界享有盛誉的教育部直属、国家“211工程”和“双一流”建设高校，是我国历史上第一所由国家创办的药学高等学府。</w:t>
      </w:r>
      <w:r>
        <w:rPr>
          <w:rFonts w:hint="eastAsia" w:ascii="宋体" w:hAnsi="宋体"/>
          <w:color w:val="auto"/>
          <w:sz w:val="22"/>
          <w:szCs w:val="22"/>
          <w:lang w:val="en-US" w:eastAsia="zh-CN"/>
        </w:rPr>
        <w:t>八十</w:t>
      </w:r>
      <w:r>
        <w:rPr>
          <w:rFonts w:hint="eastAsia" w:ascii="宋体" w:hAnsi="宋体"/>
          <w:color w:val="auto"/>
          <w:sz w:val="22"/>
          <w:szCs w:val="22"/>
        </w:rPr>
        <w:t>余年来，学校秉承“精业济群”的校训精神，为推动国家卫生健康事业发展做出了重要贡献。</w:t>
      </w:r>
    </w:p>
    <w:p>
      <w:pPr>
        <w:numPr>
          <w:ilvl w:val="0"/>
          <w:numId w:val="1"/>
        </w:numPr>
        <w:spacing w:line="400" w:lineRule="exact"/>
        <w:rPr>
          <w:rFonts w:hint="eastAsia" w:ascii="宋体" w:hAnsi="宋体"/>
          <w:b/>
          <w:color w:val="auto"/>
          <w:sz w:val="24"/>
          <w:lang w:val="en-US" w:eastAsia="zh-CN"/>
        </w:rPr>
      </w:pPr>
      <w:r>
        <w:rPr>
          <w:rFonts w:hint="eastAsia" w:ascii="宋体" w:hAnsi="宋体"/>
          <w:b/>
          <w:color w:val="auto"/>
          <w:sz w:val="24"/>
        </w:rPr>
        <w:t>招生专业、学制、学习形式、</w:t>
      </w:r>
      <w:r>
        <w:rPr>
          <w:rFonts w:hint="eastAsia" w:ascii="宋体" w:hAnsi="宋体"/>
          <w:b/>
          <w:color w:val="auto"/>
          <w:sz w:val="24"/>
          <w:lang w:val="en-US" w:eastAsia="zh-CN"/>
        </w:rPr>
        <w:t>联办</w:t>
      </w:r>
      <w:r>
        <w:rPr>
          <w:rFonts w:hint="eastAsia" w:ascii="宋体" w:hAnsi="宋体"/>
          <w:b/>
          <w:color w:val="auto"/>
          <w:sz w:val="24"/>
        </w:rPr>
        <w:t>学校及入学考试科目等</w:t>
      </w:r>
    </w:p>
    <w:tbl>
      <w:tblPr>
        <w:tblStyle w:val="3"/>
        <w:tblpPr w:leftFromText="180" w:rightFromText="180" w:vertAnchor="text" w:horzAnchor="page" w:tblpX="285" w:tblpY="339"/>
        <w:tblOverlap w:val="never"/>
        <w:tblW w:w="11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766"/>
        <w:gridCol w:w="777"/>
        <w:gridCol w:w="1110"/>
        <w:gridCol w:w="1140"/>
        <w:gridCol w:w="1282"/>
        <w:gridCol w:w="131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trPr>
        <w:tc>
          <w:tcPr>
            <w:tcW w:w="1855" w:type="dxa"/>
            <w:noWrap w:val="0"/>
            <w:vAlign w:val="center"/>
          </w:tcPr>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rPr>
              <w:t>主 办 高 校</w:t>
            </w:r>
          </w:p>
        </w:tc>
        <w:tc>
          <w:tcPr>
            <w:tcW w:w="1766"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专  业</w:t>
            </w:r>
          </w:p>
        </w:tc>
        <w:tc>
          <w:tcPr>
            <w:tcW w:w="777"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学制</w:t>
            </w:r>
          </w:p>
        </w:tc>
        <w:tc>
          <w:tcPr>
            <w:tcW w:w="1110"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学习形式</w:t>
            </w:r>
          </w:p>
        </w:tc>
        <w:tc>
          <w:tcPr>
            <w:tcW w:w="1140" w:type="dxa"/>
            <w:noWrap w:val="0"/>
            <w:vAlign w:val="center"/>
          </w:tcPr>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招生范围</w:t>
            </w:r>
          </w:p>
        </w:tc>
        <w:tc>
          <w:tcPr>
            <w:tcW w:w="1282" w:type="dxa"/>
            <w:noWrap w:val="0"/>
            <w:vAlign w:val="center"/>
          </w:tcPr>
          <w:p>
            <w:pPr>
              <w:spacing w:line="240" w:lineRule="auto"/>
              <w:jc w:val="center"/>
              <w:rPr>
                <w:rFonts w:hint="default" w:ascii="宋体" w:hAnsi="宋体"/>
                <w:b/>
                <w:bCs/>
                <w:color w:val="auto"/>
                <w:szCs w:val="21"/>
                <w:lang w:val="en-US" w:eastAsia="zh-CN"/>
              </w:rPr>
            </w:pPr>
            <w:r>
              <w:rPr>
                <w:rFonts w:hint="eastAsia" w:ascii="宋体" w:hAnsi="宋体"/>
                <w:b/>
                <w:bCs/>
                <w:color w:val="auto"/>
                <w:szCs w:val="21"/>
                <w:lang w:val="en-US" w:eastAsia="zh-CN"/>
              </w:rPr>
              <w:t>2022级收费标准</w:t>
            </w:r>
          </w:p>
        </w:tc>
        <w:tc>
          <w:tcPr>
            <w:tcW w:w="1313" w:type="dxa"/>
            <w:noWrap w:val="0"/>
            <w:vAlign w:val="center"/>
          </w:tcPr>
          <w:p>
            <w:pPr>
              <w:spacing w:line="240" w:lineRule="auto"/>
              <w:jc w:val="center"/>
              <w:rPr>
                <w:rFonts w:hint="default" w:ascii="宋体" w:hAnsi="宋体"/>
                <w:b/>
                <w:bCs/>
                <w:color w:val="auto"/>
                <w:szCs w:val="21"/>
                <w:lang w:val="en-US" w:eastAsia="zh-CN"/>
              </w:rPr>
            </w:pPr>
            <w:r>
              <w:rPr>
                <w:rFonts w:hint="eastAsia" w:ascii="宋体" w:hAnsi="宋体"/>
                <w:b/>
                <w:bCs/>
                <w:color w:val="auto"/>
                <w:szCs w:val="21"/>
                <w:lang w:val="en-US" w:eastAsia="zh-CN"/>
              </w:rPr>
              <w:t>报考科类</w:t>
            </w:r>
          </w:p>
        </w:tc>
        <w:tc>
          <w:tcPr>
            <w:tcW w:w="2362"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入学考试科目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南京医科大学</w:t>
            </w:r>
          </w:p>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w:t>
            </w:r>
            <w:r>
              <w:rPr>
                <w:rFonts w:hint="eastAsia" w:ascii="宋体" w:hAnsi="宋体"/>
                <w:b/>
                <w:bCs/>
                <w:color w:val="auto"/>
                <w:szCs w:val="21"/>
                <w:lang w:val="en-US" w:eastAsia="zh-CN"/>
              </w:rPr>
              <w:t>院校代码：023</w:t>
            </w:r>
            <w:r>
              <w:rPr>
                <w:rFonts w:hint="eastAsia" w:ascii="宋体" w:hAnsi="宋体"/>
                <w:b/>
                <w:bCs/>
                <w:color w:val="auto"/>
                <w:szCs w:val="21"/>
                <w:lang w:eastAsia="zh-CN"/>
              </w:rPr>
              <w:t>）</w:t>
            </w:r>
          </w:p>
        </w:tc>
        <w:tc>
          <w:tcPr>
            <w:tcW w:w="1766" w:type="dxa"/>
            <w:noWrap w:val="0"/>
            <w:vAlign w:val="center"/>
          </w:tcPr>
          <w:p>
            <w:pPr>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护理学</w:t>
            </w:r>
          </w:p>
        </w:tc>
        <w:tc>
          <w:tcPr>
            <w:tcW w:w="777"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函授</w:t>
            </w:r>
          </w:p>
        </w:tc>
        <w:tc>
          <w:tcPr>
            <w:tcW w:w="1140" w:type="dxa"/>
            <w:noWrap w:val="0"/>
            <w:vAlign w:val="center"/>
          </w:tcPr>
          <w:p>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盐城市</w:t>
            </w:r>
          </w:p>
        </w:tc>
        <w:tc>
          <w:tcPr>
            <w:tcW w:w="1282" w:type="dxa"/>
            <w:noWrap w:val="0"/>
            <w:vAlign w:val="center"/>
          </w:tcPr>
          <w:p>
            <w:pPr>
              <w:spacing w:line="240" w:lineRule="auto"/>
              <w:jc w:val="center"/>
              <w:rPr>
                <w:rFonts w:hint="default"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default"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医学类</w:t>
            </w:r>
          </w:p>
        </w:tc>
        <w:tc>
          <w:tcPr>
            <w:tcW w:w="2362" w:type="dxa"/>
            <w:vMerge w:val="restart"/>
            <w:noWrap w:val="0"/>
            <w:vAlign w:val="center"/>
          </w:tcPr>
          <w:p>
            <w:pPr>
              <w:spacing w:line="240" w:lineRule="auto"/>
              <w:jc w:val="center"/>
              <w:rPr>
                <w:rFonts w:hint="eastAsia" w:ascii="宋体" w:hAnsi="宋体"/>
                <w:color w:val="auto"/>
                <w:szCs w:val="21"/>
              </w:rPr>
            </w:pPr>
            <w:r>
              <w:rPr>
                <w:rFonts w:hint="eastAsia" w:ascii="宋体" w:hAnsi="宋体"/>
                <w:color w:val="auto"/>
                <w:szCs w:val="21"/>
              </w:rPr>
              <w:t>英语、政治、医学综合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restart"/>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lang w:val="en-US" w:eastAsia="zh-CN"/>
              </w:rPr>
              <w:t>扬州</w:t>
            </w:r>
            <w:r>
              <w:rPr>
                <w:rFonts w:hint="eastAsia" w:ascii="宋体" w:hAnsi="宋体"/>
                <w:b/>
                <w:bCs/>
                <w:color w:val="auto"/>
                <w:szCs w:val="21"/>
              </w:rPr>
              <w:t>大学</w:t>
            </w:r>
          </w:p>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w:t>
            </w:r>
            <w:r>
              <w:rPr>
                <w:rFonts w:hint="eastAsia" w:ascii="宋体" w:hAnsi="宋体"/>
                <w:b/>
                <w:bCs/>
                <w:color w:val="auto"/>
                <w:szCs w:val="21"/>
                <w:lang w:val="en-US" w:eastAsia="zh-CN"/>
              </w:rPr>
              <w:t>院校代码：076</w:t>
            </w:r>
            <w:r>
              <w:rPr>
                <w:rFonts w:hint="eastAsia" w:ascii="宋体" w:hAnsi="宋体"/>
                <w:b/>
                <w:bCs/>
                <w:color w:val="auto"/>
                <w:szCs w:val="21"/>
                <w:lang w:eastAsia="zh-CN"/>
              </w:rPr>
              <w:t>）</w:t>
            </w:r>
          </w:p>
        </w:tc>
        <w:tc>
          <w:tcPr>
            <w:tcW w:w="1766"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医学检验</w:t>
            </w:r>
            <w:r>
              <w:rPr>
                <w:rFonts w:hint="eastAsia" w:ascii="宋体" w:hAnsi="宋体"/>
                <w:color w:val="auto"/>
                <w:szCs w:val="21"/>
                <w:lang w:val="en-US" w:eastAsia="zh-CN"/>
              </w:rPr>
              <w:t>技术</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业余</w:t>
            </w:r>
          </w:p>
        </w:tc>
        <w:tc>
          <w:tcPr>
            <w:tcW w:w="114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default" w:ascii="宋体" w:hAnsi="宋体"/>
                <w:color w:val="auto"/>
                <w:szCs w:val="21"/>
                <w:lang w:val="en-US" w:eastAsia="zh-CN"/>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color w:val="auto"/>
                <w:szCs w:val="21"/>
              </w:rPr>
            </w:pPr>
          </w:p>
        </w:tc>
        <w:tc>
          <w:tcPr>
            <w:tcW w:w="1766"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临床医学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业余</w:t>
            </w:r>
          </w:p>
        </w:tc>
        <w:tc>
          <w:tcPr>
            <w:tcW w:w="114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cs="Times New Roman"/>
                <w:color w:val="auto"/>
                <w:kern w:val="2"/>
                <w:sz w:val="21"/>
                <w:szCs w:val="21"/>
                <w:lang w:val="en-US" w:eastAsia="zh-CN" w:bidi="ar-SA"/>
              </w:rPr>
            </w:pPr>
          </w:p>
        </w:tc>
        <w:tc>
          <w:tcPr>
            <w:tcW w:w="1766" w:type="dxa"/>
            <w:noWrap w:val="0"/>
            <w:vAlign w:val="center"/>
          </w:tcPr>
          <w:p>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中西医临床医学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业余</w:t>
            </w:r>
          </w:p>
        </w:tc>
        <w:tc>
          <w:tcPr>
            <w:tcW w:w="1140" w:type="dxa"/>
            <w:noWrap w:val="0"/>
            <w:vAlign w:val="center"/>
          </w:tcPr>
          <w:p>
            <w:pPr>
              <w:spacing w:line="24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b/>
                <w:bCs/>
                <w:color w:val="auto"/>
                <w:szCs w:val="21"/>
                <w:lang w:eastAsia="zh-CN"/>
              </w:rPr>
            </w:pPr>
          </w:p>
        </w:tc>
        <w:tc>
          <w:tcPr>
            <w:tcW w:w="1766" w:type="dxa"/>
            <w:noWrap w:val="0"/>
            <w:vAlign w:val="center"/>
          </w:tcPr>
          <w:p>
            <w:pPr>
              <w:spacing w:line="24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护理学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函授</w:t>
            </w:r>
          </w:p>
        </w:tc>
        <w:tc>
          <w:tcPr>
            <w:tcW w:w="114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default"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b/>
                <w:bCs/>
                <w:color w:val="auto"/>
                <w:szCs w:val="21"/>
                <w:lang w:eastAsia="zh-CN"/>
              </w:rPr>
            </w:pPr>
          </w:p>
        </w:tc>
        <w:tc>
          <w:tcPr>
            <w:tcW w:w="1766" w:type="dxa"/>
            <w:noWrap w:val="0"/>
            <w:vAlign w:val="center"/>
          </w:tcPr>
          <w:p>
            <w:pPr>
              <w:spacing w:line="24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药学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函授</w:t>
            </w:r>
          </w:p>
        </w:tc>
        <w:tc>
          <w:tcPr>
            <w:tcW w:w="114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default"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2200元/年</w:t>
            </w:r>
          </w:p>
        </w:tc>
        <w:tc>
          <w:tcPr>
            <w:tcW w:w="1313" w:type="dxa"/>
            <w:noWrap w:val="0"/>
            <w:vAlign w:val="center"/>
          </w:tcPr>
          <w:p>
            <w:pPr>
              <w:spacing w:line="240" w:lineRule="auto"/>
              <w:jc w:val="center"/>
              <w:rPr>
                <w:rFonts w:hint="eastAsia" w:ascii="宋体" w:hAnsi="宋体" w:cs="Times New Roman"/>
                <w:color w:val="auto"/>
                <w:kern w:val="2"/>
                <w:sz w:val="21"/>
                <w:szCs w:val="21"/>
                <w:lang w:val="en-US" w:eastAsia="zh-CN" w:bidi="ar-SA"/>
              </w:rPr>
            </w:pPr>
            <w:r>
              <w:rPr>
                <w:rFonts w:hint="eastAsia" w:ascii="宋体" w:hAnsi="宋体"/>
                <w:color w:val="auto"/>
                <w:szCs w:val="21"/>
                <w:lang w:val="en-US" w:eastAsia="zh-CN"/>
              </w:rPr>
              <w:t>经管类</w:t>
            </w:r>
          </w:p>
        </w:tc>
        <w:tc>
          <w:tcPr>
            <w:tcW w:w="2362"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英语、政治、高数（二）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restart"/>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苏州大学</w:t>
            </w:r>
          </w:p>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w:t>
            </w:r>
            <w:r>
              <w:rPr>
                <w:rFonts w:hint="eastAsia" w:ascii="宋体" w:hAnsi="宋体"/>
                <w:b/>
                <w:bCs/>
                <w:color w:val="auto"/>
                <w:szCs w:val="21"/>
                <w:lang w:val="en-US" w:eastAsia="zh-CN"/>
              </w:rPr>
              <w:t>院校代码：064</w:t>
            </w:r>
            <w:r>
              <w:rPr>
                <w:rFonts w:hint="eastAsia" w:ascii="宋体" w:hAnsi="宋体"/>
                <w:b/>
                <w:bCs/>
                <w:color w:val="auto"/>
                <w:szCs w:val="21"/>
                <w:lang w:eastAsia="zh-CN"/>
              </w:rPr>
              <w:t>）</w:t>
            </w:r>
          </w:p>
        </w:tc>
        <w:tc>
          <w:tcPr>
            <w:tcW w:w="1766"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医学影像学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业余</w:t>
            </w:r>
          </w:p>
        </w:tc>
        <w:tc>
          <w:tcPr>
            <w:tcW w:w="114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2750元/年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restart"/>
            <w:noWrap w:val="0"/>
            <w:vAlign w:val="center"/>
          </w:tcPr>
          <w:p>
            <w:pPr>
              <w:spacing w:line="240" w:lineRule="auto"/>
              <w:jc w:val="center"/>
              <w:rPr>
                <w:rFonts w:hint="eastAsia" w:ascii="宋体" w:hAnsi="宋体"/>
                <w:color w:val="auto"/>
                <w:szCs w:val="21"/>
              </w:rPr>
            </w:pPr>
            <w:r>
              <w:rPr>
                <w:rFonts w:hint="eastAsia" w:ascii="宋体" w:hAnsi="宋体"/>
                <w:color w:val="auto"/>
                <w:szCs w:val="21"/>
              </w:rPr>
              <w:t>英语、政治、医学综合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color w:val="auto"/>
                <w:szCs w:val="21"/>
              </w:rPr>
            </w:pPr>
          </w:p>
        </w:tc>
        <w:tc>
          <w:tcPr>
            <w:tcW w:w="1766"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预防医学</w:t>
            </w:r>
          </w:p>
        </w:tc>
        <w:tc>
          <w:tcPr>
            <w:tcW w:w="777"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业余</w:t>
            </w:r>
          </w:p>
        </w:tc>
        <w:tc>
          <w:tcPr>
            <w:tcW w:w="1140" w:type="dxa"/>
            <w:noWrap w:val="0"/>
            <w:vAlign w:val="center"/>
          </w:tcPr>
          <w:p>
            <w:pPr>
              <w:spacing w:line="240" w:lineRule="auto"/>
              <w:jc w:val="center"/>
              <w:rPr>
                <w:rFonts w:hint="default" w:ascii="宋体" w:hAnsi="宋体"/>
                <w:color w:val="auto"/>
                <w:szCs w:val="21"/>
                <w:lang w:val="en-US"/>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2750元/年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徐州医科大学</w:t>
            </w:r>
          </w:p>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w:t>
            </w:r>
            <w:r>
              <w:rPr>
                <w:rFonts w:hint="eastAsia" w:ascii="宋体" w:hAnsi="宋体"/>
                <w:b/>
                <w:bCs/>
                <w:color w:val="auto"/>
                <w:szCs w:val="21"/>
                <w:lang w:val="en-US" w:eastAsia="zh-CN"/>
              </w:rPr>
              <w:t>院校代码：099</w:t>
            </w:r>
            <w:r>
              <w:rPr>
                <w:rFonts w:hint="eastAsia" w:ascii="宋体" w:hAnsi="宋体"/>
                <w:b/>
                <w:bCs/>
                <w:color w:val="auto"/>
                <w:szCs w:val="21"/>
                <w:lang w:eastAsia="zh-CN"/>
              </w:rPr>
              <w:t>）</w:t>
            </w:r>
          </w:p>
        </w:tc>
        <w:tc>
          <w:tcPr>
            <w:tcW w:w="1766" w:type="dxa"/>
            <w:noWrap w:val="0"/>
            <w:vAlign w:val="center"/>
          </w:tcPr>
          <w:p>
            <w:pPr>
              <w:spacing w:line="240" w:lineRule="auto"/>
              <w:jc w:val="both"/>
              <w:rPr>
                <w:rFonts w:hint="default" w:ascii="宋体" w:hAnsi="宋体" w:eastAsia="宋体"/>
                <w:color w:val="auto"/>
                <w:kern w:val="2"/>
                <w:sz w:val="21"/>
                <w:szCs w:val="21"/>
                <w:lang w:val="en-US" w:eastAsia="zh-CN" w:bidi="ar-SA"/>
              </w:rPr>
            </w:pPr>
            <w:r>
              <w:rPr>
                <w:rFonts w:hint="eastAsia" w:ascii="宋体" w:hAnsi="宋体"/>
                <w:color w:val="auto"/>
                <w:kern w:val="2"/>
                <w:sz w:val="21"/>
                <w:szCs w:val="21"/>
                <w:lang w:val="en-US" w:eastAsia="zh-CN" w:bidi="ar-SA"/>
              </w:rPr>
              <w:t xml:space="preserve">    护理学</w:t>
            </w:r>
          </w:p>
        </w:tc>
        <w:tc>
          <w:tcPr>
            <w:tcW w:w="777" w:type="dxa"/>
            <w:noWrap w:val="0"/>
            <w:vAlign w:val="center"/>
          </w:tcPr>
          <w:p>
            <w:pPr>
              <w:spacing w:line="240" w:lineRule="auto"/>
              <w:jc w:val="center"/>
              <w:rPr>
                <w:rFonts w:hint="eastAsia" w:ascii="宋体" w:hAnsi="宋体"/>
                <w:color w:val="auto"/>
                <w:kern w:val="2"/>
                <w:sz w:val="21"/>
                <w:szCs w:val="21"/>
                <w:lang w:val="en-US" w:eastAsia="zh-CN" w:bidi="ar-SA"/>
              </w:rPr>
            </w:pPr>
            <w:r>
              <w:rPr>
                <w:rFonts w:hint="eastAsia" w:ascii="宋体" w:hAnsi="宋体"/>
                <w:color w:val="auto"/>
                <w:szCs w:val="21"/>
              </w:rPr>
              <w:t>2年半</w:t>
            </w:r>
          </w:p>
        </w:tc>
        <w:tc>
          <w:tcPr>
            <w:tcW w:w="1110" w:type="dxa"/>
            <w:noWrap w:val="0"/>
            <w:vAlign w:val="center"/>
          </w:tcPr>
          <w:p>
            <w:pPr>
              <w:spacing w:line="240" w:lineRule="auto"/>
              <w:jc w:val="center"/>
              <w:rPr>
                <w:rFonts w:hint="default" w:ascii="宋体" w:hAnsi="宋体"/>
                <w:color w:val="auto"/>
                <w:kern w:val="2"/>
                <w:sz w:val="21"/>
                <w:szCs w:val="21"/>
                <w:lang w:val="en-US" w:eastAsia="zh-CN" w:bidi="ar-SA"/>
              </w:rPr>
            </w:pPr>
            <w:r>
              <w:rPr>
                <w:rFonts w:hint="eastAsia" w:ascii="宋体" w:hAnsi="宋体"/>
                <w:color w:val="auto"/>
                <w:kern w:val="2"/>
                <w:sz w:val="21"/>
                <w:szCs w:val="21"/>
                <w:lang w:val="en-US" w:eastAsia="zh-CN" w:bidi="ar-SA"/>
              </w:rPr>
              <w:t>函授</w:t>
            </w:r>
          </w:p>
        </w:tc>
        <w:tc>
          <w:tcPr>
            <w:tcW w:w="114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2500元/年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s="Times New Roman"/>
                <w:color w:val="auto"/>
                <w:kern w:val="2"/>
                <w:sz w:val="21"/>
                <w:szCs w:val="21"/>
                <w:lang w:val="en-US" w:eastAsia="zh-CN" w:bidi="ar-SA"/>
              </w:rPr>
              <w:t>医学类</w:t>
            </w:r>
          </w:p>
        </w:tc>
        <w:tc>
          <w:tcPr>
            <w:tcW w:w="2362" w:type="dxa"/>
            <w:vMerge w:val="continue"/>
            <w:noWrap w:val="0"/>
            <w:vAlign w:val="center"/>
          </w:tcPr>
          <w:p>
            <w:pPr>
              <w:spacing w:line="240" w:lineRule="auto"/>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restart"/>
            <w:noWrap w:val="0"/>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中国药科大学</w:t>
            </w:r>
          </w:p>
          <w:p>
            <w:pPr>
              <w:spacing w:line="24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eastAsia="zh-CN"/>
              </w:rPr>
              <w:t>（</w:t>
            </w:r>
            <w:r>
              <w:rPr>
                <w:rFonts w:hint="eastAsia" w:ascii="宋体" w:hAnsi="宋体"/>
                <w:b/>
                <w:bCs/>
                <w:color w:val="auto"/>
                <w:szCs w:val="21"/>
                <w:lang w:val="en-US" w:eastAsia="zh-CN"/>
              </w:rPr>
              <w:t>院校代码：012</w:t>
            </w:r>
            <w:r>
              <w:rPr>
                <w:rFonts w:hint="eastAsia" w:ascii="宋体" w:hAnsi="宋体"/>
                <w:b/>
                <w:bCs/>
                <w:color w:val="auto"/>
                <w:szCs w:val="21"/>
                <w:lang w:eastAsia="zh-CN"/>
              </w:rPr>
              <w:t>）</w:t>
            </w:r>
          </w:p>
        </w:tc>
        <w:tc>
          <w:tcPr>
            <w:tcW w:w="1766"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药学</w:t>
            </w:r>
          </w:p>
        </w:tc>
        <w:tc>
          <w:tcPr>
            <w:tcW w:w="777"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3年</w:t>
            </w:r>
          </w:p>
        </w:tc>
        <w:tc>
          <w:tcPr>
            <w:tcW w:w="111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函授</w:t>
            </w:r>
          </w:p>
        </w:tc>
        <w:tc>
          <w:tcPr>
            <w:tcW w:w="114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2420元/年</w:t>
            </w:r>
          </w:p>
        </w:tc>
        <w:tc>
          <w:tcPr>
            <w:tcW w:w="1313" w:type="dxa"/>
            <w:noWrap w:val="0"/>
            <w:vAlign w:val="center"/>
          </w:tcPr>
          <w:p>
            <w:pPr>
              <w:spacing w:line="240" w:lineRule="auto"/>
              <w:jc w:val="center"/>
              <w:rPr>
                <w:rFonts w:hint="eastAsia" w:ascii="宋体" w:hAnsi="宋体"/>
                <w:color w:val="auto"/>
                <w:szCs w:val="21"/>
                <w:lang w:val="en-US" w:eastAsia="zh-CN"/>
              </w:rPr>
            </w:pPr>
            <w:r>
              <w:rPr>
                <w:rFonts w:hint="eastAsia" w:ascii="宋体" w:hAnsi="宋体"/>
                <w:color w:val="auto"/>
                <w:szCs w:val="21"/>
                <w:lang w:val="en-US" w:eastAsia="zh-CN"/>
              </w:rPr>
              <w:t>经管类</w:t>
            </w:r>
          </w:p>
        </w:tc>
        <w:tc>
          <w:tcPr>
            <w:tcW w:w="2362" w:type="dxa"/>
            <w:noWrap w:val="0"/>
            <w:vAlign w:val="center"/>
          </w:tcPr>
          <w:p>
            <w:pPr>
              <w:spacing w:line="24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英语、政治、高数（二）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855" w:type="dxa"/>
            <w:vMerge w:val="continue"/>
            <w:noWrap w:val="0"/>
            <w:vAlign w:val="center"/>
          </w:tcPr>
          <w:p>
            <w:pPr>
              <w:spacing w:line="240" w:lineRule="auto"/>
              <w:jc w:val="center"/>
              <w:rPr>
                <w:rFonts w:hint="eastAsia" w:ascii="宋体" w:hAnsi="宋体"/>
                <w:color w:val="auto"/>
                <w:szCs w:val="21"/>
              </w:rPr>
            </w:pPr>
          </w:p>
        </w:tc>
        <w:tc>
          <w:tcPr>
            <w:tcW w:w="1766"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中药学</w:t>
            </w:r>
          </w:p>
        </w:tc>
        <w:tc>
          <w:tcPr>
            <w:tcW w:w="777"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3年</w:t>
            </w:r>
          </w:p>
        </w:tc>
        <w:tc>
          <w:tcPr>
            <w:tcW w:w="111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函授</w:t>
            </w:r>
          </w:p>
        </w:tc>
        <w:tc>
          <w:tcPr>
            <w:tcW w:w="1140"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lang w:val="en-US" w:eastAsia="zh-CN"/>
              </w:rPr>
              <w:t>盐城市</w:t>
            </w:r>
          </w:p>
        </w:tc>
        <w:tc>
          <w:tcPr>
            <w:tcW w:w="1282" w:type="dxa"/>
            <w:noWrap w:val="0"/>
            <w:vAlign w:val="center"/>
          </w:tcPr>
          <w:p>
            <w:pPr>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2420元/年</w:t>
            </w:r>
          </w:p>
        </w:tc>
        <w:tc>
          <w:tcPr>
            <w:tcW w:w="1313" w:type="dxa"/>
            <w:noWrap w:val="0"/>
            <w:vAlign w:val="center"/>
          </w:tcPr>
          <w:p>
            <w:pPr>
              <w:spacing w:line="240" w:lineRule="auto"/>
              <w:jc w:val="center"/>
              <w:rPr>
                <w:rFonts w:hint="default" w:ascii="宋体" w:hAnsi="宋体"/>
                <w:color w:val="auto"/>
                <w:szCs w:val="21"/>
                <w:lang w:val="en-US" w:eastAsia="zh-CN"/>
              </w:rPr>
            </w:pPr>
            <w:r>
              <w:rPr>
                <w:rFonts w:hint="eastAsia" w:ascii="宋体" w:hAnsi="宋体"/>
                <w:color w:val="auto"/>
                <w:szCs w:val="21"/>
                <w:lang w:val="en-US" w:eastAsia="zh-CN"/>
              </w:rPr>
              <w:t>文史类（中医）</w:t>
            </w:r>
          </w:p>
        </w:tc>
        <w:tc>
          <w:tcPr>
            <w:tcW w:w="2362" w:type="dxa"/>
            <w:noWrap w:val="0"/>
            <w:vAlign w:val="center"/>
          </w:tcPr>
          <w:p>
            <w:pPr>
              <w:spacing w:line="240" w:lineRule="auto"/>
              <w:jc w:val="center"/>
              <w:rPr>
                <w:rFonts w:hint="eastAsia" w:ascii="宋体" w:hAnsi="宋体"/>
                <w:color w:val="auto"/>
                <w:szCs w:val="21"/>
              </w:rPr>
            </w:pPr>
            <w:r>
              <w:rPr>
                <w:rFonts w:hint="eastAsia" w:ascii="宋体" w:hAnsi="宋体"/>
                <w:color w:val="auto"/>
                <w:szCs w:val="21"/>
              </w:rPr>
              <w:t>英语、政治、大学语文</w:t>
            </w:r>
          </w:p>
        </w:tc>
      </w:tr>
    </w:tbl>
    <w:p>
      <w:pPr>
        <w:numPr>
          <w:ilvl w:val="0"/>
          <w:numId w:val="0"/>
        </w:numPr>
        <w:spacing w:line="400" w:lineRule="exact"/>
        <w:ind w:leftChars="0"/>
        <w:rPr>
          <w:rFonts w:hint="eastAsia" w:ascii="宋体" w:hAnsi="宋体"/>
          <w:b/>
          <w:color w:val="auto"/>
          <w:sz w:val="24"/>
          <w:lang w:val="en-US" w:eastAsia="zh-CN"/>
        </w:rPr>
      </w:pPr>
      <w:r>
        <w:rPr>
          <w:rFonts w:hint="eastAsia" w:ascii="宋体" w:hAnsi="宋体"/>
          <w:b/>
          <w:color w:val="auto"/>
          <w:sz w:val="24"/>
          <w:lang w:val="en-US" w:eastAsia="zh-CN"/>
        </w:rPr>
        <w:t>四、毕业及学位授予要求</w:t>
      </w:r>
    </w:p>
    <w:p>
      <w:pPr>
        <w:spacing w:line="400" w:lineRule="exact"/>
        <w:ind w:firstLine="420" w:firstLineChars="200"/>
        <w:rPr>
          <w:rFonts w:hint="eastAsia" w:ascii="宋体" w:hAnsi="宋体"/>
          <w:color w:val="auto"/>
        </w:rPr>
      </w:pPr>
      <w:r>
        <w:rPr>
          <w:rFonts w:hint="eastAsia" w:ascii="宋体" w:hAnsi="宋体"/>
          <w:color w:val="auto"/>
        </w:rPr>
        <w:t>在规定学习年限内达到所在专业毕业要求的学生，颁发成人高等教育毕业证书；</w:t>
      </w:r>
    </w:p>
    <w:p>
      <w:pPr>
        <w:numPr>
          <w:ilvl w:val="0"/>
          <w:numId w:val="0"/>
        </w:numPr>
        <w:spacing w:line="400" w:lineRule="exact"/>
        <w:ind w:firstLine="420" w:firstLineChars="200"/>
        <w:rPr>
          <w:rFonts w:hint="eastAsia" w:ascii="宋体" w:hAnsi="宋体"/>
          <w:b/>
          <w:color w:val="auto"/>
          <w:sz w:val="24"/>
          <w:szCs w:val="24"/>
          <w:lang w:val="en-US" w:eastAsia="zh-CN"/>
        </w:rPr>
      </w:pPr>
      <w:r>
        <w:rPr>
          <w:rFonts w:hint="eastAsia" w:ascii="宋体" w:hAnsi="宋体"/>
          <w:color w:val="auto"/>
        </w:rPr>
        <w:t>符合学校学位授予有关规定者，授予相应学士学位。</w:t>
      </w:r>
    </w:p>
    <w:p>
      <w:pPr>
        <w:widowControl/>
        <w:spacing w:line="560" w:lineRule="exact"/>
        <w:ind w:firstLine="450"/>
        <w:jc w:val="left"/>
        <w:rPr>
          <w:rFonts w:hint="eastAsia" w:ascii="宋体" w:hAnsi="宋体"/>
          <w:b/>
          <w:color w:val="auto"/>
          <w:sz w:val="24"/>
          <w:szCs w:val="24"/>
        </w:rPr>
      </w:pPr>
      <w:r>
        <w:rPr>
          <w:rFonts w:hint="eastAsia" w:ascii="宋体" w:hAnsi="宋体"/>
          <w:b/>
          <w:color w:val="auto"/>
          <w:sz w:val="24"/>
          <w:szCs w:val="24"/>
          <w:lang w:val="en-US" w:eastAsia="zh-CN"/>
        </w:rPr>
        <w:t>五、</w:t>
      </w:r>
      <w:r>
        <w:rPr>
          <w:rFonts w:hint="eastAsia" w:ascii="宋体" w:hAnsi="宋体"/>
          <w:b/>
          <w:color w:val="auto"/>
          <w:sz w:val="24"/>
          <w:szCs w:val="24"/>
        </w:rPr>
        <w:t>报考条件</w:t>
      </w:r>
    </w:p>
    <w:p>
      <w:pPr>
        <w:numPr>
          <w:ilvl w:val="0"/>
          <w:numId w:val="0"/>
        </w:numPr>
        <w:spacing w:line="400" w:lineRule="exact"/>
        <w:ind w:leftChars="0"/>
        <w:rPr>
          <w:rFonts w:hint="eastAsia" w:ascii="宋体" w:hAnsi="宋体"/>
          <w:color w:val="auto"/>
        </w:rPr>
      </w:pPr>
      <w:r>
        <w:rPr>
          <w:rFonts w:hint="eastAsia" w:ascii="宋体" w:hAnsi="宋体"/>
          <w:b/>
          <w:color w:val="auto"/>
          <w:sz w:val="24"/>
          <w:lang w:val="en-US" w:eastAsia="zh-CN"/>
        </w:rPr>
        <w:t>（以下是2021年报考条件，2022年报考条件以江苏省教育考试院最新公布为准）</w:t>
      </w:r>
    </w:p>
    <w:p>
      <w:pPr>
        <w:spacing w:line="400" w:lineRule="exact"/>
        <w:ind w:firstLine="420" w:firstLineChars="200"/>
        <w:rPr>
          <w:rFonts w:hint="eastAsia" w:ascii="宋体" w:hAnsi="宋体"/>
          <w:color w:val="auto"/>
        </w:rPr>
      </w:pPr>
      <w:r>
        <w:rPr>
          <w:rFonts w:hint="eastAsia" w:ascii="宋体" w:hAnsi="宋体"/>
          <w:color w:val="auto"/>
        </w:rPr>
        <w:t>1、拥护中国共产党的领导，品德良好，遵守中华人民共和国宪法和法律，能全心全意为伤病员服务，身体健康。</w:t>
      </w:r>
    </w:p>
    <w:p>
      <w:pPr>
        <w:spacing w:line="400" w:lineRule="exact"/>
        <w:ind w:firstLine="420" w:firstLineChars="200"/>
        <w:rPr>
          <w:rFonts w:hint="eastAsia" w:ascii="宋体" w:hAnsi="宋体"/>
          <w:color w:val="auto"/>
        </w:rPr>
      </w:pPr>
      <w:r>
        <w:rPr>
          <w:rFonts w:hint="eastAsia" w:ascii="宋体" w:hAnsi="宋体"/>
          <w:color w:val="auto"/>
        </w:rPr>
        <w:t>2、报考专科起点升本科的考生必须是已取得经教育部审定核准的国民教育系列高等学校、高等教育自学考试机构颁发的医学类专科毕业证书及其以上学历毕业证书的人员，其学历证书必须经过教育部学历电子注册，电子注册号码必须能在“中国高等教育学生信息网”上查询到。</w:t>
      </w:r>
    </w:p>
    <w:p>
      <w:pPr>
        <w:spacing w:line="400" w:lineRule="exact"/>
        <w:ind w:firstLine="420" w:firstLineChars="200"/>
        <w:rPr>
          <w:rFonts w:hint="eastAsia" w:ascii="宋体" w:hAnsi="宋体"/>
          <w:color w:val="auto"/>
        </w:rPr>
      </w:pPr>
      <w:r>
        <w:rPr>
          <w:rFonts w:hint="eastAsia" w:ascii="宋体" w:hAnsi="宋体"/>
          <w:color w:val="auto"/>
        </w:rPr>
        <w:t>3、报考医学门类专业的考生只能报考面向本人户口或工作所在地招生的院校专业，不得跨市报名。同时，根据</w:t>
      </w:r>
      <w:bookmarkStart w:id="0" w:name="_GoBack"/>
      <w:bookmarkEnd w:id="0"/>
      <w:r>
        <w:rPr>
          <w:rFonts w:hint="eastAsia" w:ascii="宋体" w:hAnsi="宋体"/>
          <w:color w:val="auto"/>
        </w:rPr>
        <w:t>教育部的规定，还应具备以下条件：</w:t>
      </w:r>
    </w:p>
    <w:p>
      <w:pPr>
        <w:spacing w:line="400" w:lineRule="exact"/>
        <w:ind w:firstLine="420" w:firstLineChars="200"/>
        <w:rPr>
          <w:rFonts w:hint="eastAsia" w:ascii="宋体" w:hAnsi="宋体"/>
          <w:color w:val="auto"/>
        </w:rPr>
      </w:pPr>
      <w:r>
        <w:rPr>
          <w:rFonts w:hint="eastAsia" w:ascii="宋体" w:hAnsi="宋体"/>
          <w:color w:val="auto"/>
        </w:rPr>
        <w:t>（1）报考临床医学、口腔医学、预防医学等医学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pPr>
        <w:spacing w:line="400" w:lineRule="exact"/>
        <w:ind w:firstLine="420" w:firstLineChars="200"/>
        <w:rPr>
          <w:rFonts w:hint="eastAsia" w:ascii="宋体" w:hAnsi="宋体"/>
          <w:color w:val="auto"/>
        </w:rPr>
      </w:pPr>
      <w:r>
        <w:rPr>
          <w:rFonts w:hint="eastAsia" w:ascii="宋体" w:hAnsi="宋体"/>
          <w:color w:val="auto"/>
        </w:rPr>
        <w:t>（2）报考护理学专业的人员应当取得省级卫生行政部门颁发的执业护士证书。</w:t>
      </w:r>
    </w:p>
    <w:p>
      <w:pPr>
        <w:spacing w:line="400" w:lineRule="exact"/>
        <w:ind w:firstLine="420" w:firstLineChars="200"/>
        <w:rPr>
          <w:rFonts w:hint="eastAsia" w:ascii="宋体" w:hAnsi="宋体"/>
          <w:color w:val="auto"/>
        </w:rPr>
      </w:pPr>
      <w:r>
        <w:rPr>
          <w:rFonts w:hint="eastAsia" w:ascii="宋体" w:hAnsi="宋体"/>
          <w:color w:val="auto"/>
        </w:rPr>
        <w:t>（3）报考医学门类其他专业的应为从事卫生、医药行业工作的在职专业技术人员。报考药学、中药学专业的应为该行业从业人员。</w:t>
      </w:r>
    </w:p>
    <w:p>
      <w:pPr>
        <w:spacing w:line="400" w:lineRule="exact"/>
        <w:ind w:firstLine="420" w:firstLineChars="200"/>
        <w:rPr>
          <w:rFonts w:hint="eastAsia" w:ascii="宋体" w:hAnsi="宋体"/>
          <w:b/>
          <w:color w:val="auto"/>
          <w:sz w:val="24"/>
          <w:lang w:val="en-US" w:eastAsia="zh-CN"/>
        </w:rPr>
      </w:pPr>
      <w:r>
        <w:rPr>
          <w:rFonts w:hint="eastAsia" w:ascii="宋体" w:hAnsi="宋体"/>
          <w:color w:val="auto"/>
        </w:rPr>
        <w:t>（4）考生报考专业原则上应与本人所从事的专业对口。</w:t>
      </w:r>
    </w:p>
    <w:p>
      <w:pPr>
        <w:snapToGrid w:val="0"/>
        <w:spacing w:line="400" w:lineRule="exact"/>
        <w:ind w:left="0" w:leftChars="0" w:firstLine="0" w:firstLineChars="0"/>
        <w:rPr>
          <w:rFonts w:hint="eastAsia" w:ascii="宋体" w:hAnsi="宋体"/>
          <w:b/>
          <w:bCs/>
          <w:color w:val="auto"/>
          <w:kern w:val="0"/>
          <w:sz w:val="24"/>
          <w:szCs w:val="24"/>
          <w:lang w:val="en-US" w:eastAsia="zh-CN"/>
        </w:rPr>
      </w:pPr>
      <w:r>
        <w:rPr>
          <w:rFonts w:hint="eastAsia" w:ascii="宋体" w:hAnsi="宋体"/>
          <w:b/>
          <w:bCs/>
          <w:color w:val="auto"/>
          <w:kern w:val="0"/>
          <w:sz w:val="24"/>
          <w:szCs w:val="24"/>
          <w:lang w:val="en-US" w:eastAsia="zh-CN"/>
        </w:rPr>
        <w:t>六、报考指南</w:t>
      </w:r>
    </w:p>
    <w:p>
      <w:pPr>
        <w:snapToGrid w:val="0"/>
        <w:spacing w:line="400" w:lineRule="exact"/>
        <w:ind w:left="0" w:leftChars="0" w:firstLine="440" w:firstLineChars="200"/>
        <w:rPr>
          <w:rFonts w:hint="eastAsia" w:ascii="宋体" w:hAnsi="宋体"/>
          <w:b w:val="0"/>
          <w:bCs w:val="0"/>
          <w:color w:val="auto"/>
          <w:kern w:val="0"/>
          <w:sz w:val="22"/>
          <w:szCs w:val="22"/>
          <w:lang w:val="en-US" w:eastAsia="zh-CN"/>
        </w:rPr>
      </w:pPr>
      <w:r>
        <w:rPr>
          <w:rFonts w:hint="eastAsia" w:ascii="宋体" w:hAnsi="宋体"/>
          <w:b w:val="0"/>
          <w:bCs w:val="0"/>
          <w:color w:val="auto"/>
          <w:kern w:val="0"/>
          <w:sz w:val="22"/>
          <w:szCs w:val="22"/>
          <w:lang w:val="en-US" w:eastAsia="zh-CN"/>
        </w:rPr>
        <w:t>报名时间：8月底9月初</w:t>
      </w:r>
    </w:p>
    <w:p>
      <w:pPr>
        <w:snapToGrid w:val="0"/>
        <w:spacing w:line="400" w:lineRule="exact"/>
        <w:ind w:left="0" w:leftChars="0" w:firstLine="440" w:firstLineChars="200"/>
        <w:rPr>
          <w:rFonts w:hint="eastAsia" w:ascii="宋体" w:hAnsi="宋体"/>
          <w:b w:val="0"/>
          <w:bCs w:val="0"/>
          <w:color w:val="auto"/>
          <w:kern w:val="0"/>
          <w:sz w:val="22"/>
          <w:szCs w:val="22"/>
          <w:lang w:val="en-US" w:eastAsia="zh-CN"/>
        </w:rPr>
      </w:pPr>
      <w:r>
        <w:rPr>
          <w:rFonts w:hint="eastAsia" w:ascii="宋体" w:hAnsi="宋体"/>
          <w:b w:val="0"/>
          <w:bCs w:val="0"/>
          <w:color w:val="auto"/>
          <w:kern w:val="0"/>
          <w:sz w:val="22"/>
          <w:szCs w:val="22"/>
          <w:lang w:val="en-US" w:eastAsia="zh-CN"/>
        </w:rPr>
        <w:t>报名方式：江苏省教育考试院网上报名，报名网址：</w:t>
      </w:r>
      <w:r>
        <w:rPr>
          <w:rFonts w:hint="eastAsia" w:ascii="宋体" w:hAnsi="宋体"/>
          <w:b w:val="0"/>
          <w:bCs w:val="0"/>
          <w:color w:val="auto"/>
          <w:kern w:val="0"/>
          <w:sz w:val="22"/>
          <w:szCs w:val="22"/>
          <w:lang w:val="en-US" w:eastAsia="zh-CN"/>
        </w:rPr>
        <w:fldChar w:fldCharType="begin"/>
      </w:r>
      <w:r>
        <w:rPr>
          <w:rFonts w:hint="eastAsia" w:ascii="宋体" w:hAnsi="宋体"/>
          <w:b w:val="0"/>
          <w:bCs w:val="0"/>
          <w:color w:val="auto"/>
          <w:kern w:val="0"/>
          <w:sz w:val="22"/>
          <w:szCs w:val="22"/>
          <w:lang w:val="en-US" w:eastAsia="zh-CN"/>
        </w:rPr>
        <w:instrText xml:space="preserve"> HYPERLINK "http://www.jseea.cn" </w:instrText>
      </w:r>
      <w:r>
        <w:rPr>
          <w:rFonts w:hint="eastAsia" w:ascii="宋体" w:hAnsi="宋体"/>
          <w:b w:val="0"/>
          <w:bCs w:val="0"/>
          <w:color w:val="auto"/>
          <w:kern w:val="0"/>
          <w:sz w:val="22"/>
          <w:szCs w:val="22"/>
          <w:lang w:val="en-US" w:eastAsia="zh-CN"/>
        </w:rPr>
        <w:fldChar w:fldCharType="separate"/>
      </w:r>
      <w:r>
        <w:rPr>
          <w:rStyle w:val="6"/>
          <w:rFonts w:hint="eastAsia" w:ascii="宋体" w:hAnsi="宋体"/>
          <w:b w:val="0"/>
          <w:bCs w:val="0"/>
          <w:kern w:val="0"/>
          <w:sz w:val="22"/>
          <w:szCs w:val="22"/>
          <w:lang w:val="en-US" w:eastAsia="zh-CN"/>
        </w:rPr>
        <w:t>www.jseea.cn</w:t>
      </w:r>
      <w:r>
        <w:rPr>
          <w:rFonts w:hint="eastAsia" w:ascii="宋体" w:hAnsi="宋体"/>
          <w:b w:val="0"/>
          <w:bCs w:val="0"/>
          <w:color w:val="auto"/>
          <w:kern w:val="0"/>
          <w:sz w:val="22"/>
          <w:szCs w:val="22"/>
          <w:lang w:val="en-US" w:eastAsia="zh-CN"/>
        </w:rPr>
        <w:fldChar w:fldCharType="end"/>
      </w:r>
    </w:p>
    <w:p>
      <w:pPr>
        <w:snapToGrid w:val="0"/>
        <w:spacing w:line="400" w:lineRule="exact"/>
        <w:ind w:firstLine="480"/>
        <w:rPr>
          <w:rFonts w:hint="default" w:ascii="宋体" w:hAnsi="宋体"/>
          <w:b w:val="0"/>
          <w:bCs w:val="0"/>
          <w:color w:val="auto"/>
          <w:kern w:val="0"/>
          <w:sz w:val="22"/>
          <w:szCs w:val="22"/>
          <w:lang w:val="en-US" w:eastAsia="zh-CN"/>
        </w:rPr>
      </w:pPr>
      <w:r>
        <w:rPr>
          <w:rFonts w:hint="eastAsia" w:ascii="宋体" w:hAnsi="宋体"/>
          <w:b w:val="0"/>
          <w:bCs w:val="0"/>
          <w:color w:val="auto"/>
          <w:kern w:val="0"/>
          <w:sz w:val="22"/>
          <w:szCs w:val="22"/>
          <w:lang w:val="en-US" w:eastAsia="zh-CN"/>
        </w:rPr>
        <w:t>入学考试：全国成人高等学校统一考试，考试时间在10月中下旬（以江苏省教育考试院当年公布为准）</w:t>
      </w:r>
    </w:p>
    <w:p>
      <w:pPr>
        <w:snapToGrid w:val="0"/>
        <w:spacing w:line="400" w:lineRule="exact"/>
        <w:ind w:left="0" w:leftChars="0" w:firstLine="0" w:firstLineChars="0"/>
        <w:rPr>
          <w:rFonts w:hint="eastAsia" w:ascii="宋体" w:hAnsi="宋体"/>
          <w:b/>
          <w:bCs/>
          <w:color w:val="auto"/>
          <w:kern w:val="0"/>
          <w:sz w:val="24"/>
          <w:szCs w:val="24"/>
        </w:rPr>
      </w:pPr>
      <w:r>
        <w:rPr>
          <w:rFonts w:hint="eastAsia" w:ascii="宋体" w:hAnsi="宋体"/>
          <w:b/>
          <w:bCs/>
          <w:color w:val="auto"/>
          <w:kern w:val="0"/>
          <w:sz w:val="24"/>
          <w:szCs w:val="24"/>
          <w:lang w:val="en-US" w:eastAsia="zh-CN"/>
        </w:rPr>
        <w:t>七</w:t>
      </w:r>
      <w:r>
        <w:rPr>
          <w:rFonts w:hint="eastAsia" w:ascii="宋体" w:hAnsi="宋体"/>
          <w:b/>
          <w:bCs/>
          <w:color w:val="auto"/>
          <w:kern w:val="0"/>
          <w:sz w:val="24"/>
          <w:szCs w:val="24"/>
        </w:rPr>
        <w:t>、录取原则</w:t>
      </w:r>
    </w:p>
    <w:p>
      <w:pPr>
        <w:snapToGrid w:val="0"/>
        <w:spacing w:line="400" w:lineRule="exact"/>
        <w:ind w:left="0" w:leftChars="0" w:firstLine="440" w:firstLineChars="200"/>
        <w:rPr>
          <w:rFonts w:hint="eastAsia" w:ascii="宋体" w:hAnsi="宋体"/>
          <w:color w:val="auto"/>
          <w:kern w:val="0"/>
          <w:sz w:val="24"/>
          <w:szCs w:val="24"/>
        </w:rPr>
      </w:pPr>
      <w:r>
        <w:rPr>
          <w:rFonts w:hint="eastAsia" w:ascii="宋体" w:hAnsi="宋体" w:cs="宋体"/>
          <w:b w:val="0"/>
          <w:bCs w:val="0"/>
          <w:color w:val="auto"/>
          <w:sz w:val="22"/>
          <w:szCs w:val="22"/>
        </w:rPr>
        <w:t>录取原则：严格按“公平公正、择优录取”原则从高分到低分顺序录取。</w:t>
      </w:r>
    </w:p>
    <w:p>
      <w:pPr>
        <w:snapToGrid w:val="0"/>
        <w:spacing w:line="400" w:lineRule="exact"/>
        <w:ind w:left="0" w:leftChars="0" w:firstLine="0" w:firstLineChars="0"/>
        <w:rPr>
          <w:rFonts w:hint="eastAsia" w:ascii="宋体" w:hAnsi="宋体"/>
          <w:b/>
          <w:bCs/>
          <w:color w:val="auto"/>
          <w:kern w:val="0"/>
          <w:sz w:val="24"/>
          <w:szCs w:val="24"/>
        </w:rPr>
      </w:pPr>
      <w:r>
        <w:drawing>
          <wp:anchor distT="0" distB="0" distL="114300" distR="114300" simplePos="0" relativeHeight="251659264" behindDoc="0" locked="0" layoutInCell="1" allowOverlap="1">
            <wp:simplePos x="0" y="0"/>
            <wp:positionH relativeFrom="column">
              <wp:posOffset>4295140</wp:posOffset>
            </wp:positionH>
            <wp:positionV relativeFrom="paragraph">
              <wp:posOffset>183515</wp:posOffset>
            </wp:positionV>
            <wp:extent cx="1076960" cy="1070610"/>
            <wp:effectExtent l="0" t="0" r="8890" b="152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076960" cy="1070610"/>
                    </a:xfrm>
                    <a:prstGeom prst="rect">
                      <a:avLst/>
                    </a:prstGeom>
                    <a:noFill/>
                    <a:ln>
                      <a:noFill/>
                    </a:ln>
                  </pic:spPr>
                </pic:pic>
              </a:graphicData>
            </a:graphic>
          </wp:anchor>
        </w:drawing>
      </w:r>
      <w:r>
        <w:rPr>
          <w:rFonts w:hint="eastAsia"/>
          <w:b/>
          <w:bCs/>
          <w:lang w:val="en-US" w:eastAsia="zh-CN"/>
        </w:rPr>
        <w:t>八</w:t>
      </w:r>
      <w:r>
        <w:rPr>
          <w:rFonts w:hint="eastAsia" w:ascii="宋体" w:hAnsi="宋体"/>
          <w:b/>
          <w:bCs/>
          <w:color w:val="auto"/>
          <w:kern w:val="0"/>
          <w:sz w:val="24"/>
          <w:szCs w:val="24"/>
        </w:rPr>
        <w:t>、招生咨询</w:t>
      </w:r>
    </w:p>
    <w:p>
      <w:pPr>
        <w:snapToGrid w:val="0"/>
        <w:spacing w:line="400" w:lineRule="exact"/>
        <w:ind w:left="0" w:leftChars="0" w:firstLine="440" w:firstLineChars="200"/>
        <w:rPr>
          <w:rFonts w:hint="eastAsia" w:ascii="宋体" w:hAnsi="宋体" w:cs="宋体"/>
          <w:b w:val="0"/>
          <w:bCs w:val="0"/>
          <w:color w:val="auto"/>
          <w:sz w:val="22"/>
          <w:szCs w:val="22"/>
        </w:rPr>
      </w:pPr>
      <w:r>
        <w:rPr>
          <w:rFonts w:hint="eastAsia" w:ascii="宋体" w:hAnsi="宋体" w:cs="宋体"/>
          <w:b w:val="0"/>
          <w:bCs w:val="0"/>
          <w:color w:val="auto"/>
          <w:sz w:val="22"/>
          <w:szCs w:val="22"/>
        </w:rPr>
        <w:t>江苏医药职业学院继续教育学院：</w:t>
      </w:r>
    </w:p>
    <w:p>
      <w:pPr>
        <w:snapToGrid w:val="0"/>
        <w:spacing w:line="400" w:lineRule="exact"/>
        <w:ind w:left="0" w:leftChars="0" w:firstLine="440" w:firstLineChars="200"/>
        <w:rPr>
          <w:rFonts w:hint="eastAsia" w:ascii="宋体" w:hAnsi="宋体" w:cs="宋体"/>
          <w:b w:val="0"/>
          <w:bCs w:val="0"/>
          <w:color w:val="auto"/>
          <w:sz w:val="22"/>
          <w:szCs w:val="22"/>
          <w:lang w:val="en-US" w:eastAsia="zh-CN"/>
        </w:rPr>
      </w:pPr>
      <w:r>
        <w:rPr>
          <w:rFonts w:hint="eastAsia" w:ascii="宋体" w:hAnsi="宋体" w:cs="宋体"/>
          <w:b w:val="0"/>
          <w:bCs w:val="0"/>
          <w:color w:val="auto"/>
          <w:sz w:val="22"/>
          <w:szCs w:val="22"/>
          <w:lang w:val="en-US" w:eastAsia="zh-CN"/>
        </w:rPr>
        <w:t>工作日0515-88591341 休息日 0515-69933371 0515-69933373</w:t>
      </w:r>
    </w:p>
    <w:p>
      <w:pPr>
        <w:snapToGrid w:val="0"/>
        <w:spacing w:line="400" w:lineRule="exact"/>
        <w:ind w:left="0" w:leftChars="0" w:firstLine="440" w:firstLineChars="200"/>
        <w:rPr>
          <w:color w:val="auto"/>
        </w:rPr>
      </w:pPr>
      <w:r>
        <w:rPr>
          <w:rFonts w:hint="eastAsia" w:ascii="宋体" w:hAnsi="宋体" w:cs="宋体"/>
          <w:b w:val="0"/>
          <w:bCs w:val="0"/>
          <w:color w:val="auto"/>
          <w:sz w:val="22"/>
          <w:szCs w:val="22"/>
          <w:lang w:val="en-US" w:eastAsia="zh-CN"/>
        </w:rPr>
        <w:t xml:space="preserve">2022年成人高考报名QQ群：256972065  </w:t>
      </w:r>
      <w:r>
        <w:rPr>
          <w:rFonts w:hint="eastAsia" w:ascii="宋体" w:hAnsi="宋体"/>
          <w:color w:val="auto"/>
          <w:szCs w:val="21"/>
          <w:lang w:val="en-US" w:eastAsia="zh-CN"/>
        </w:rPr>
        <w:t xml:space="preserve"> </w:t>
      </w:r>
    </w:p>
    <w:sectPr>
      <w:headerReference r:id="rId3" w:type="default"/>
      <w:pgSz w:w="11906" w:h="16838"/>
      <w:pgMar w:top="850" w:right="850" w:bottom="850"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5BA8C"/>
    <w:multiLevelType w:val="singleLevel"/>
    <w:tmpl w:val="91D5BA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ZGY3MTk0ODE1NDliOTUwNDVlYTg4NjE4OWRmY2YifQ=="/>
  </w:docVars>
  <w:rsids>
    <w:rsidRoot w:val="52F465E2"/>
    <w:rsid w:val="010D6C46"/>
    <w:rsid w:val="020558DC"/>
    <w:rsid w:val="021A3C24"/>
    <w:rsid w:val="023064BE"/>
    <w:rsid w:val="02426753"/>
    <w:rsid w:val="05072C4C"/>
    <w:rsid w:val="09D0463B"/>
    <w:rsid w:val="0A1F403B"/>
    <w:rsid w:val="0BEB7098"/>
    <w:rsid w:val="0CCD7981"/>
    <w:rsid w:val="0D017C10"/>
    <w:rsid w:val="0E2320FD"/>
    <w:rsid w:val="11270E45"/>
    <w:rsid w:val="12911650"/>
    <w:rsid w:val="15DD31B4"/>
    <w:rsid w:val="160D2C56"/>
    <w:rsid w:val="17F00C53"/>
    <w:rsid w:val="1902777B"/>
    <w:rsid w:val="19182835"/>
    <w:rsid w:val="1B79077B"/>
    <w:rsid w:val="1F0B219B"/>
    <w:rsid w:val="21C24E5E"/>
    <w:rsid w:val="244330D1"/>
    <w:rsid w:val="27E74E37"/>
    <w:rsid w:val="27F25DC8"/>
    <w:rsid w:val="28970629"/>
    <w:rsid w:val="2B385021"/>
    <w:rsid w:val="2DEC0C1B"/>
    <w:rsid w:val="2E66120C"/>
    <w:rsid w:val="316F499C"/>
    <w:rsid w:val="3408586F"/>
    <w:rsid w:val="36536493"/>
    <w:rsid w:val="39971DB2"/>
    <w:rsid w:val="403E071B"/>
    <w:rsid w:val="40E75F6C"/>
    <w:rsid w:val="4367739A"/>
    <w:rsid w:val="468666F2"/>
    <w:rsid w:val="48B907C0"/>
    <w:rsid w:val="499711C3"/>
    <w:rsid w:val="4BFD229B"/>
    <w:rsid w:val="4D0720A8"/>
    <w:rsid w:val="4DF352BB"/>
    <w:rsid w:val="4EDE17CB"/>
    <w:rsid w:val="509D4AAF"/>
    <w:rsid w:val="511D46A8"/>
    <w:rsid w:val="51444BAB"/>
    <w:rsid w:val="52566B89"/>
    <w:rsid w:val="52F465E2"/>
    <w:rsid w:val="54410E20"/>
    <w:rsid w:val="56E02F1E"/>
    <w:rsid w:val="5F1436B7"/>
    <w:rsid w:val="60DF5608"/>
    <w:rsid w:val="636C18F1"/>
    <w:rsid w:val="668354DF"/>
    <w:rsid w:val="6897440B"/>
    <w:rsid w:val="6A5B4DFF"/>
    <w:rsid w:val="6A5F4E8F"/>
    <w:rsid w:val="6C786321"/>
    <w:rsid w:val="6E1F310D"/>
    <w:rsid w:val="6EB331F2"/>
    <w:rsid w:val="6F7F17AC"/>
    <w:rsid w:val="73B2391D"/>
    <w:rsid w:val="77576EA2"/>
    <w:rsid w:val="7D4B1E28"/>
    <w:rsid w:val="7E4E7E0A"/>
    <w:rsid w:val="7EDC0802"/>
    <w:rsid w:val="7F8B1601"/>
    <w:rsid w:val="7FA3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1997</Words>
  <Characters>2132</Characters>
  <Lines>0</Lines>
  <Paragraphs>0</Paragraphs>
  <TotalTime>0</TotalTime>
  <ScaleCrop>false</ScaleCrop>
  <LinksUpToDate>false</LinksUpToDate>
  <CharactersWithSpaces>2147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2020-06-22T00:53:00Z</dcterms:created>
  <dc:creator>姜达珍</dc:creator>
  <cp:lastModifiedBy>姜达珍</cp:lastModifiedBy>
  <cp:lastPrinted>2022-06-10T06:42:00Z</cp:lastPrinted>
  <dcterms:modified xsi:type="dcterms:W3CDTF">2022-09-13T09:01:55Z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66746D0B22FF41BCA016A3456051E6C2</vt:lpwstr>
  </property>
</Properties>
</file>